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E6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4" w:leftChars="59" w:firstLine="120" w:firstLineChars="5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附件1</w:t>
      </w:r>
    </w:p>
    <w:p w14:paraId="31ABF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年公开招聘编外人员岗位信息表（第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期）</w:t>
      </w:r>
    </w:p>
    <w:tbl>
      <w:tblPr>
        <w:tblStyle w:val="2"/>
        <w:tblW w:w="15265" w:type="dxa"/>
        <w:tblInd w:w="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786"/>
        <w:gridCol w:w="656"/>
        <w:gridCol w:w="1168"/>
        <w:gridCol w:w="1613"/>
        <w:gridCol w:w="1143"/>
        <w:gridCol w:w="2386"/>
        <w:gridCol w:w="3431"/>
        <w:gridCol w:w="2425"/>
      </w:tblGrid>
      <w:tr w14:paraId="4119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专业类别、专业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33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全日制硕士研究生及以上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7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公办全日制院校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院内合同（参照在编人员待遇），面试</w:t>
            </w:r>
          </w:p>
        </w:tc>
      </w:tr>
      <w:tr w14:paraId="3C73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1332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消化内科医师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556E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临床药师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全日制硕士研究生及以上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硕士学位及以上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E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40" w:leftChars="0" w:hanging="440" w:hangingChars="20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临床药学、药理学、药学专业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公办全日制院校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3234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公办全日制院校（不含民办和独立院校），非专升本学历；具有护士资格证，2025年毕业人员可承诺毕业时具有成绩合格证明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03D6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康复医学科技师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4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康复治疗学、康复物理治疗、康复作业治疗、听力与言语康复学</w:t>
            </w:r>
          </w:p>
          <w:p w14:paraId="2DD7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公办全日制院校（不含民办和独立院校），非专升本学历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09D8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病理科技师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医学检验类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公办全日制院校（不含民办和独立院校），非专升本学历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院内合同（参照在编人员待遇），笔试后面试</w:t>
            </w:r>
          </w:p>
        </w:tc>
      </w:tr>
      <w:tr w14:paraId="0884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病理科技师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医学检验类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全日制普通高等院校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劳务派遣合同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，笔试后面试</w:t>
            </w:r>
          </w:p>
        </w:tc>
      </w:tr>
    </w:tbl>
    <w:p w14:paraId="13D1F5F2"/>
    <w:sectPr>
      <w:pgSz w:w="16838" w:h="11906" w:orient="landscape"/>
      <w:pgMar w:top="1180" w:right="1440" w:bottom="1266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GVhZWVjOGNlYjc4MGM5NWQ1YzhmMWMyZWRkMzgifQ=="/>
  </w:docVars>
  <w:rsids>
    <w:rsidRoot w:val="24B22E6D"/>
    <w:rsid w:val="24B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2024-12-03T10:31:00Z</dcterms:created>
  <dc:creator>大龙猪猪侠</dc:creator>
  <cp:lastModifiedBy>大龙猪猪侠</cp:lastModifiedBy>
  <dcterms:modified xsi:type="dcterms:W3CDTF">2024-12-03T10:35:02Z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5ECA6D8981A342AB969544280BCF408B_11</vt:lpwstr>
  </property>
</Properties>
</file>